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5D64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57" w:afterLines="50"/>
        <w:textAlignment w:val="auto"/>
        <w:rPr>
          <w:rFonts w:hint="eastAsia" w:ascii="宋体" w:hAnsi="宋体"/>
          <w:color w:val="000000"/>
          <w:sz w:val="28"/>
          <w:szCs w:val="28"/>
        </w:rPr>
      </w:pPr>
      <w:bookmarkStart w:id="1" w:name="_GoBack"/>
      <w:bookmarkEnd w:id="1"/>
      <w:bookmarkStart w:id="0" w:name="_Toc1969"/>
      <w:r>
        <w:rPr>
          <w:rFonts w:hint="eastAsia" w:ascii="宋体" w:hAnsi="宋体" w:eastAsia="宋体" w:cs="Times New Roman"/>
          <w:b/>
          <w:bCs/>
          <w:color w:val="000000"/>
          <w:sz w:val="28"/>
          <w:szCs w:val="28"/>
        </w:rPr>
        <w:t>技术</w:t>
      </w:r>
      <w:r>
        <w:rPr>
          <w:rFonts w:hint="eastAsia" w:ascii="宋体" w:hAnsi="宋体"/>
          <w:color w:val="000000"/>
          <w:sz w:val="28"/>
          <w:szCs w:val="28"/>
        </w:rPr>
        <w:t>要求</w:t>
      </w:r>
      <w:bookmarkEnd w:id="0"/>
    </w:p>
    <w:tbl>
      <w:tblPr>
        <w:tblStyle w:val="4"/>
        <w:tblpPr w:leftFromText="180" w:rightFromText="180" w:vertAnchor="text" w:horzAnchor="page" w:tblpX="1639" w:tblpY="659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808"/>
        <w:gridCol w:w="7010"/>
      </w:tblGrid>
      <w:tr w14:paraId="0ED9B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91" w:type="pct"/>
            <w:noWrap w:val="0"/>
            <w:vAlign w:val="center"/>
          </w:tcPr>
          <w:p w14:paraId="64276E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945" w:type="pct"/>
            <w:noWrap w:val="0"/>
            <w:vAlign w:val="center"/>
          </w:tcPr>
          <w:p w14:paraId="7536D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3663" w:type="pct"/>
            <w:noWrap w:val="0"/>
            <w:vAlign w:val="center"/>
          </w:tcPr>
          <w:p w14:paraId="641065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技术参数要求</w:t>
            </w:r>
          </w:p>
        </w:tc>
      </w:tr>
      <w:tr w14:paraId="1CB3A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91" w:type="pct"/>
            <w:noWrap w:val="0"/>
            <w:vAlign w:val="center"/>
          </w:tcPr>
          <w:p w14:paraId="2AAE2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1</w:t>
            </w:r>
          </w:p>
        </w:tc>
        <w:tc>
          <w:tcPr>
            <w:tcW w:w="1739" w:type="dxa"/>
            <w:noWrap w:val="0"/>
            <w:vAlign w:val="center"/>
          </w:tcPr>
          <w:p w14:paraId="3D84E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骨髓成像系统</w:t>
            </w:r>
          </w:p>
        </w:tc>
        <w:tc>
          <w:tcPr>
            <w:tcW w:w="3663" w:type="pct"/>
            <w:noWrap w:val="0"/>
            <w:vAlign w:val="center"/>
          </w:tcPr>
          <w:p w14:paraId="2797FA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20" w:firstLine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功能要求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：</w:t>
            </w:r>
          </w:p>
          <w:p w14:paraId="646068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骨髓图文分析系统1套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：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主要用于骨髓细胞、外周血细胞形态观察、分类、计数等用途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。</w:t>
            </w:r>
          </w:p>
          <w:p w14:paraId="7DD51B5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20" w:firstLine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软件参数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：</w:t>
            </w:r>
          </w:p>
          <w:p w14:paraId="10913A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以数据库方式管理病案文档及图像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具有数据备份及数据刻录功能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多种骨髓细胞、外周血细胞分类计数功能，自动计算百分比，也可直接输入人工计数百分比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通过搭配专用计数器可使按键数据实时进入软件计数栏目，无须手工输入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。</w:t>
            </w:r>
          </w:p>
          <w:p w14:paraId="3A3B79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20" w:firstLineChars="0"/>
              <w:jc w:val="left"/>
              <w:textAlignment w:val="baseline"/>
              <w:rPr>
                <w:rFonts w:hint="eastAsia" w:ascii="宋体" w:hAnsi="宋体" w:eastAsia="宋体" w:cs="宋体"/>
                <w:b/>
                <w:bCs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3、硬件参数：</w:t>
            </w:r>
          </w:p>
          <w:p w14:paraId="7DED190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显微镜：正置生物显微镜；具备双人共览功能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。</w:t>
            </w:r>
          </w:p>
          <w:p w14:paraId="19BAD58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物镜：至少包括10X/20X/40X/100X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。</w:t>
            </w:r>
          </w:p>
          <w:p w14:paraId="3329E62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高清晰数码CCD摄像机：</w:t>
            </w:r>
          </w:p>
          <w:p w14:paraId="49CC13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CCD扫描模式：逐行扫描，≥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万像素数码摄像机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。</w:t>
            </w:r>
          </w:p>
          <w:p w14:paraId="61A58F9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多功能血细胞计数器：</w:t>
            </w:r>
          </w:p>
          <w:p w14:paraId="33B507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骨髓细胞分类计数：能对人体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≥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48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余种骨髓细胞分类计数、分析，当计数到预定总数时，会发出信号，并自动分析出完整的各项指标，其中有细胞总计数、各种细胞个数、百分率、粒红比例等，并能对主要指标翻页显示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  <w:p w14:paraId="78758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4.2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外周血细胞分类计数：能对外周血中常见的三类细胞进行分类计数、分析。若出现幼稚细胞也能进行计数分析，检验人员只需将观察到的外周血中的各种细胞输入计数器，即立刻显示出细胞总计数、各种细胞个数、百分率等指标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6599C3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细胞化学染色（组化）结果的计算：能对细胞化学染色结果进行计算，自动算出阳性和阳性反应细胞总数、阳性率和积分数等指标。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bidi="ar"/>
              </w:rPr>
              <w:t>当计数到预定总数时，会发出报警信号，并自动分析出完整的各项指标</w:t>
            </w:r>
            <w:r>
              <w:rPr>
                <w:rFonts w:hint="eastAsia" w:ascii="宋体" w:hAnsi="宋体" w:eastAsia="宋体" w:cs="宋体"/>
                <w:color w:val="060607"/>
                <w:spacing w:val="4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。</w:t>
            </w:r>
          </w:p>
        </w:tc>
      </w:tr>
      <w:tr w14:paraId="1AAC5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391" w:type="pct"/>
            <w:noWrap w:val="0"/>
            <w:vAlign w:val="center"/>
          </w:tcPr>
          <w:p w14:paraId="0F431B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</w:rPr>
              <w:t>2</w:t>
            </w:r>
          </w:p>
        </w:tc>
        <w:tc>
          <w:tcPr>
            <w:tcW w:w="1739" w:type="dxa"/>
            <w:noWrap w:val="0"/>
            <w:vAlign w:val="center"/>
          </w:tcPr>
          <w:p w14:paraId="54ACC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精子质量分析系统</w:t>
            </w:r>
          </w:p>
        </w:tc>
        <w:tc>
          <w:tcPr>
            <w:tcW w:w="3663" w:type="pct"/>
            <w:noWrap w:val="0"/>
            <w:vAlign w:val="center"/>
          </w:tcPr>
          <w:p w14:paraId="4773006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41" w:firstLineChars="0"/>
              <w:jc w:val="left"/>
              <w:textAlignment w:val="baseline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设备整机一体化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：</w:t>
            </w:r>
          </w:p>
          <w:p w14:paraId="6F49DC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（显微扫描、图像采集、计算机、温控系统）集成设计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03F299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41" w:firstLineChars="0"/>
              <w:jc w:val="left"/>
              <w:textAlignment w:val="baseline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生物显微镜：</w:t>
            </w:r>
          </w:p>
          <w:p w14:paraId="71D5F1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光学系统：无限远光学系统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3BF662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照明装置：LED光源；物镜：至少包括10X/20X/40X/100X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66C0BB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41" w:firstLineChars="0"/>
              <w:jc w:val="left"/>
              <w:textAlignment w:val="baseline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高清数码摄像机：</w:t>
            </w:r>
          </w:p>
          <w:p w14:paraId="019470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CCD扫描模式：逐行扫描；CCD尺寸：≥1/2英寸；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500万像素，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帧率：≥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95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fbs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431EE9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hanging="41" w:firstLineChars="0"/>
              <w:jc w:val="left"/>
              <w:textAlignment w:val="baseline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lang w:val="en-US" w:eastAsia="zh-CN" w:bidi="ar-SA"/>
              </w:rPr>
              <w:t>4、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软件参数：</w:t>
            </w:r>
          </w:p>
          <w:p w14:paraId="4682E9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(1)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精子动力学分析项目活力级别至少包括PR、NP、IM三个级别，还可分析≥40项活力相关参数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169C176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(2)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自动计算畸形精子指数（TZI）和精子畸形指数（SDI），及多重异常指数（MAI）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6F5D9C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(3)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设备自动扫描并分析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视野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各项视野将按照多数量原则截取。</w:t>
            </w:r>
          </w:p>
          <w:p w14:paraId="20E3CF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(4)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可跟踪精子运动轨迹并描绘输出彩色轨迹线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74D44D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5" w:leftChars="0" w:hanging="425" w:firstLineChars="0"/>
              <w:jc w:val="left"/>
              <w:textAlignment w:val="baseline"/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1"/>
                <w:lang w:val="en-US" w:eastAsia="zh-CN" w:bidi="ar-SA"/>
              </w:rPr>
              <w:t>(5)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提供软件系统升级服务。</w:t>
            </w:r>
          </w:p>
        </w:tc>
      </w:tr>
    </w:tbl>
    <w:p w14:paraId="47F7CC2A">
      <w:r>
        <w:rPr>
          <w:rFonts w:hint="eastAsia" w:ascii="宋体" w:hAnsi="宋体"/>
          <w:b/>
          <w:sz w:val="24"/>
          <w:highlight w:val="none"/>
        </w:rPr>
        <w:t>注：以上“技术要求”为实质性要求，必须完全满足，否则响应无效。</w:t>
      </w:r>
    </w:p>
    <w:sectPr>
      <w:pgSz w:w="11906" w:h="16838"/>
      <w:pgMar w:top="1417" w:right="1276" w:bottom="1134" w:left="1276" w:header="709" w:footer="680" w:gutter="0"/>
      <w:pgNumType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D7E0B9"/>
    <w:multiLevelType w:val="singleLevel"/>
    <w:tmpl w:val="00D7E0B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F01C4"/>
    <w:rsid w:val="3797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500" w:lineRule="exact"/>
      <w:jc w:val="center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2024-06-27T06:23:00Z</dcterms:created>
  <dc:creator>Administrator</dc:creator>
  <cp:lastModifiedBy>dy</cp:lastModifiedBy>
  <dcterms:modified xsi:type="dcterms:W3CDTF">2025-08-22T06:22:03Z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D6B3558E16F540B397F1FE449DFFB59A_12</vt:lpwstr>
  </property>
  <property fmtid="{D5CDD505-2E9C-101B-9397-08002B2CF9AE}" pid="4" name="KSOTemplateDocerSaveRecord">
    <vt:lpwstr>eyJoZGlkIjoiMDFkMjkzNGE0MmY2YzIyODVmMGMyZTQ5YzA1MWI1MjAiLCJ1c2VySWQiOiI0NTczODY4MTgifQ==</vt:lpwstr>
  </property>
</Properties>
</file>