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9C1B7">
      <w:pPr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OLE_LINK36"/>
      <w:r>
        <w:rPr>
          <w:rFonts w:hint="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3931228B">
      <w:pPr>
        <w:jc w:val="center"/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质控设备市场调研项目需求</w:t>
      </w:r>
    </w:p>
    <w:p w14:paraId="0428CA09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同时具备心电模拟仪、无创血压模拟仪、脉搏血氧饱和度模拟仪一体机。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 w14:paraId="692613C0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1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、心电模拟部分：频率（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0.1-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0.1-100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Hz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，最大允许误差±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1%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；电压（峰峰值）（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0.5-2.0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mV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最大允许误差±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2%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；心率（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30-300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）次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/min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，最大允许误差±（示值的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1%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±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）次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/min</w:t>
      </w:r>
    </w:p>
    <w:p w14:paraId="6A3DF139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、无创血压部分：（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0-40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kPa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0-300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mmHg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，压力示值最大允误差：无创±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0.1kPa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（±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0.8mmHg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），血压示值重复性：≤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0.13kPa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1mmHg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</w:p>
    <w:p w14:paraId="19DFB96F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、脉搏血氧饱和度部分：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35%-100%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重复性≤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1%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，最大允许误差±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3%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35%-74%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范围内）和±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2%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75%-100%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范围内）并具备不少于临床常用的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条及以上的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R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曲线选择。</w:t>
      </w:r>
    </w:p>
    <w:p w14:paraId="066AD3D7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配置臭氧气体分析仪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台</w:t>
      </w:r>
    </w:p>
    <w:p w14:paraId="3A5966F6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配置紫外线辐射照度计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台</w:t>
      </w:r>
    </w:p>
    <w:p w14:paraId="4A240293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技术参数：</w:t>
      </w:r>
    </w:p>
    <w:p w14:paraId="77B01509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）量程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:0~20mW/cm²,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分辨率为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1LW/cm2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bookmarkStart w:id="1" w:name="_GoBack"/>
      <w:bookmarkEnd w:id="1"/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 w14:paraId="1592CA71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）测量波长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:253.7nm(2537Å)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 w14:paraId="7E9BCDC4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）精确度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1µ/cm²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 w14:paraId="7A47B727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）准确度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误差小于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5%(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相对于国家标准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)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 w14:paraId="6AAE09B4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）响应时间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小于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1min</w:t>
      </w:r>
    </w:p>
    <w:p w14:paraId="6420965D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）使用环境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温度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℃±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℃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,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相对湿度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&lt;85%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 w14:paraId="4EC8B874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6.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质保三年，（包含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年国家法定机构的溯源认证并提供证书）。</w:t>
      </w:r>
    </w:p>
    <w:bookmarkEnd w:id="0"/>
    <w:p w14:paraId="4AF906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7A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2025-09-08T02:56:21Z</dcterms:created>
  <dc:creator>Administrator</dc:creator>
  <cp:lastModifiedBy>黄镁淇</cp:lastModifiedBy>
  <dcterms:modified xsi:type="dcterms:W3CDTF">2025-09-08T02:56:33Z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eyJoZGlkIjoiNTljNDY4ZTRkMDljOTUyM2E3ZmUxODEwNTRkMmRhYmMiLCJ1c2VySWQiOiI5NTA3MzU1NjIifQ==</vt:lpwstr>
  </property>
  <property fmtid="{D5CDD505-2E9C-101B-9397-08002B2CF9AE}" pid="4" name="ICV">
    <vt:lpwstr>6C840FA0A1EA4123AF8352B1EFDEFB1A_12</vt:lpwstr>
  </property>
</Properties>
</file>