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6"/>
        <w:gridCol w:w="6189"/>
        <w:gridCol w:w="1626"/>
      </w:tblGrid>
      <w:tr w14:paraId="4792A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981" w:type="dxa"/>
            <w:gridSpan w:val="3"/>
            <w:noWrap/>
          </w:tcPr>
          <w:p w14:paraId="08FAFC67">
            <w:pPr>
              <w:rPr>
                <w:rFonts w:ascii="微软雅黑" w:hAnsi="微软雅黑" w:eastAsia="微软雅黑"/>
                <w:b/>
                <w:bCs/>
                <w:color w:val="000000" w:themeColor="text1"/>
                <w:sz w:val="22"/>
                <w14:textFill>
                  <w14:solidFill>
                    <w14:schemeClr w14:val="tx1"/>
                  </w14:solidFill>
                </w14:textFill>
              </w:rPr>
            </w:pPr>
            <w:r>
              <w:rPr>
                <w:rFonts w:hint="eastAsia" w:ascii="微软雅黑" w:hAnsi="微软雅黑" w:eastAsia="微软雅黑"/>
                <w:b/>
                <w:bCs/>
                <w:color w:val="000000" w:themeColor="text1"/>
                <w:sz w:val="22"/>
                <w14:textFill>
                  <w14:solidFill>
                    <w14:schemeClr w14:val="tx1"/>
                  </w14:solidFill>
                </w14:textFill>
              </w:rPr>
              <w:t xml:space="preserve">附件1：        </w:t>
            </w:r>
            <w:bookmarkStart w:id="0" w:name="_GoBack"/>
            <w:bookmarkEnd w:id="0"/>
          </w:p>
          <w:p w14:paraId="14929EAB">
            <w:pPr>
              <w:jc w:val="center"/>
              <w:rPr>
                <w:rFonts w:ascii="微软雅黑" w:hAnsi="微软雅黑" w:eastAsia="微软雅黑"/>
                <w:b/>
                <w:bCs/>
                <w:color w:val="000000" w:themeColor="text1"/>
                <w:sz w:val="22"/>
                <w14:textFill>
                  <w14:solidFill>
                    <w14:schemeClr w14:val="tx1"/>
                  </w14:solidFill>
                </w14:textFill>
              </w:rPr>
            </w:pPr>
            <w:r>
              <w:rPr>
                <w:rFonts w:hint="eastAsia" w:ascii="微软雅黑" w:hAnsi="微软雅黑" w:eastAsia="微软雅黑"/>
                <w:b/>
                <w:bCs/>
                <w:color w:val="000000" w:themeColor="text1"/>
                <w:sz w:val="22"/>
                <w14:textFill>
                  <w14:solidFill>
                    <w14:schemeClr w14:val="tx1"/>
                  </w14:solidFill>
                </w14:textFill>
              </w:rPr>
              <w:t>硬性膀胱镜（配医用灌注泵）项目招标需求</w:t>
            </w:r>
          </w:p>
        </w:tc>
      </w:tr>
      <w:tr w14:paraId="2D08C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66" w:type="dxa"/>
            <w:noWrap/>
          </w:tcPr>
          <w:p w14:paraId="4FA6D228">
            <w:pPr>
              <w:jc w:val="center"/>
              <w:rPr>
                <w:rFonts w:ascii="微软雅黑" w:hAnsi="微软雅黑" w:eastAsia="微软雅黑"/>
                <w:b/>
                <w:bCs/>
                <w:color w:val="000000" w:themeColor="text1"/>
                <w:sz w:val="22"/>
                <w14:textFill>
                  <w14:solidFill>
                    <w14:schemeClr w14:val="tx1"/>
                  </w14:solidFill>
                </w14:textFill>
              </w:rPr>
            </w:pPr>
            <w:r>
              <w:rPr>
                <w:rFonts w:hint="eastAsia" w:ascii="微软雅黑" w:hAnsi="微软雅黑" w:eastAsia="微软雅黑"/>
                <w:b/>
                <w:bCs/>
                <w:color w:val="000000" w:themeColor="text1"/>
                <w:sz w:val="22"/>
                <w14:textFill>
                  <w14:solidFill>
                    <w14:schemeClr w14:val="tx1"/>
                  </w14:solidFill>
                </w14:textFill>
              </w:rPr>
              <w:t>一</w:t>
            </w:r>
          </w:p>
        </w:tc>
        <w:tc>
          <w:tcPr>
            <w:tcW w:w="7815" w:type="dxa"/>
            <w:gridSpan w:val="2"/>
            <w:noWrap/>
          </w:tcPr>
          <w:p w14:paraId="20AB0B8D">
            <w:pPr>
              <w:jc w:val="center"/>
              <w:rPr>
                <w:rFonts w:ascii="微软雅黑" w:hAnsi="微软雅黑" w:eastAsia="微软雅黑"/>
                <w:b/>
                <w:bCs/>
                <w:color w:val="000000" w:themeColor="text1"/>
                <w:sz w:val="22"/>
                <w14:textFill>
                  <w14:solidFill>
                    <w14:schemeClr w14:val="tx1"/>
                  </w14:solidFill>
                </w14:textFill>
              </w:rPr>
            </w:pPr>
            <w:r>
              <w:rPr>
                <w:rFonts w:hint="eastAsia" w:ascii="微软雅黑" w:hAnsi="微软雅黑" w:eastAsia="微软雅黑"/>
                <w:b/>
                <w:bCs/>
                <w:color w:val="000000" w:themeColor="text1"/>
                <w:sz w:val="22"/>
                <w14:textFill>
                  <w14:solidFill>
                    <w14:schemeClr w14:val="tx1"/>
                  </w14:solidFill>
                </w14:textFill>
              </w:rPr>
              <w:t>技术参数/服务需求</w:t>
            </w:r>
          </w:p>
        </w:tc>
      </w:tr>
      <w:tr w14:paraId="63F4D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2A9ED7AE">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（一）</w:t>
            </w:r>
          </w:p>
        </w:tc>
        <w:tc>
          <w:tcPr>
            <w:tcW w:w="7815" w:type="dxa"/>
            <w:gridSpan w:val="2"/>
            <w:noWrap/>
          </w:tcPr>
          <w:p w14:paraId="25619683">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膀胱镜(一套）</w:t>
            </w:r>
          </w:p>
        </w:tc>
      </w:tr>
      <w:tr w14:paraId="675F3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75403B96">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w:t>
            </w:r>
          </w:p>
        </w:tc>
        <w:tc>
          <w:tcPr>
            <w:tcW w:w="7815" w:type="dxa"/>
            <w:gridSpan w:val="2"/>
            <w:noWrap/>
          </w:tcPr>
          <w:p w14:paraId="0CA685B9">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视 向 角：0°、30°、70°</w:t>
            </w:r>
          </w:p>
        </w:tc>
      </w:tr>
      <w:tr w14:paraId="1DE62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2D986C42">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2</w:t>
            </w:r>
          </w:p>
        </w:tc>
        <w:tc>
          <w:tcPr>
            <w:tcW w:w="7815" w:type="dxa"/>
            <w:gridSpan w:val="2"/>
            <w:noWrap/>
          </w:tcPr>
          <w:p w14:paraId="1DFF06C5">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视场角:≥60°</w:t>
            </w:r>
          </w:p>
        </w:tc>
      </w:tr>
      <w:tr w14:paraId="39FEE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3A4BDD4B">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3</w:t>
            </w:r>
          </w:p>
        </w:tc>
        <w:tc>
          <w:tcPr>
            <w:tcW w:w="7815" w:type="dxa"/>
            <w:gridSpan w:val="2"/>
            <w:noWrap/>
          </w:tcPr>
          <w:p w14:paraId="3E723656">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镜管直径：φ4.0mm</w:t>
            </w:r>
          </w:p>
        </w:tc>
      </w:tr>
      <w:tr w14:paraId="00A00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1BBA8636">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4</w:t>
            </w:r>
          </w:p>
        </w:tc>
        <w:tc>
          <w:tcPr>
            <w:tcW w:w="7815" w:type="dxa"/>
            <w:gridSpan w:val="2"/>
            <w:noWrap/>
          </w:tcPr>
          <w:p w14:paraId="66CAC821">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光学镜的有效景深范围：3mm～50mm</w:t>
            </w:r>
          </w:p>
        </w:tc>
      </w:tr>
      <w:tr w14:paraId="2188C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41881328">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5</w:t>
            </w:r>
          </w:p>
        </w:tc>
        <w:tc>
          <w:tcPr>
            <w:tcW w:w="7815" w:type="dxa"/>
            <w:gridSpan w:val="2"/>
            <w:noWrap/>
          </w:tcPr>
          <w:p w14:paraId="6406528C">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工作长度:≥300mm</w:t>
            </w:r>
          </w:p>
        </w:tc>
      </w:tr>
      <w:tr w14:paraId="7D4B1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73DDBFFD">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6</w:t>
            </w:r>
          </w:p>
        </w:tc>
        <w:tc>
          <w:tcPr>
            <w:tcW w:w="7815" w:type="dxa"/>
            <w:gridSpan w:val="2"/>
            <w:noWrap/>
          </w:tcPr>
          <w:p w14:paraId="27E696DC">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导向器自锁装置,分体式</w:t>
            </w:r>
          </w:p>
        </w:tc>
      </w:tr>
      <w:tr w14:paraId="1B652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0F11164D">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7</w:t>
            </w:r>
          </w:p>
        </w:tc>
        <w:tc>
          <w:tcPr>
            <w:tcW w:w="7815" w:type="dxa"/>
            <w:gridSpan w:val="2"/>
            <w:noWrap/>
          </w:tcPr>
          <w:p w14:paraId="52A41B5C">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全医用不锈钢</w:t>
            </w:r>
          </w:p>
        </w:tc>
      </w:tr>
      <w:tr w14:paraId="11842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6A4051F4">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8</w:t>
            </w:r>
          </w:p>
        </w:tc>
        <w:tc>
          <w:tcPr>
            <w:tcW w:w="7815" w:type="dxa"/>
            <w:gridSpan w:val="2"/>
            <w:noWrap/>
          </w:tcPr>
          <w:p w14:paraId="68125722">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 xml:space="preserve">镜鞘：F16、F18、F21、F24可选 </w:t>
            </w:r>
          </w:p>
        </w:tc>
      </w:tr>
      <w:tr w14:paraId="0FBCE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46056FB6">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9</w:t>
            </w:r>
          </w:p>
        </w:tc>
        <w:tc>
          <w:tcPr>
            <w:tcW w:w="7815" w:type="dxa"/>
            <w:gridSpan w:val="2"/>
            <w:noWrap/>
          </w:tcPr>
          <w:p w14:paraId="4EFFDB0A">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镜鞘长度：230mm</w:t>
            </w:r>
          </w:p>
        </w:tc>
      </w:tr>
      <w:tr w14:paraId="42E14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3BDD7C92">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10</w:t>
            </w:r>
          </w:p>
        </w:tc>
        <w:tc>
          <w:tcPr>
            <w:tcW w:w="7815" w:type="dxa"/>
            <w:gridSpan w:val="2"/>
            <w:noWrap/>
          </w:tcPr>
          <w:p w14:paraId="7ED620E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钳子直径：φ2.4 mm</w:t>
            </w:r>
          </w:p>
        </w:tc>
      </w:tr>
      <w:tr w14:paraId="1D775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0C5BFB82">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11</w:t>
            </w:r>
          </w:p>
        </w:tc>
        <w:tc>
          <w:tcPr>
            <w:tcW w:w="7815" w:type="dxa"/>
            <w:gridSpan w:val="2"/>
            <w:noWrap/>
          </w:tcPr>
          <w:p w14:paraId="36119AD6">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可高温高压消毒</w:t>
            </w:r>
          </w:p>
        </w:tc>
      </w:tr>
      <w:tr w14:paraId="34576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39FFB83D">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（二）</w:t>
            </w:r>
          </w:p>
        </w:tc>
        <w:tc>
          <w:tcPr>
            <w:tcW w:w="7815" w:type="dxa"/>
            <w:gridSpan w:val="2"/>
            <w:noWrap/>
          </w:tcPr>
          <w:p w14:paraId="69EC78C4">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加压器（一套）</w:t>
            </w:r>
          </w:p>
        </w:tc>
      </w:tr>
      <w:tr w14:paraId="720B6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533BB38B">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w:t>
            </w:r>
          </w:p>
        </w:tc>
        <w:tc>
          <w:tcPr>
            <w:tcW w:w="7815" w:type="dxa"/>
            <w:gridSpan w:val="2"/>
            <w:noWrap/>
          </w:tcPr>
          <w:p w14:paraId="5D603391">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输入电压和频率:220V  50Hz</w:t>
            </w:r>
          </w:p>
        </w:tc>
      </w:tr>
      <w:tr w14:paraId="7BDCC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1B4DE9F5">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2</w:t>
            </w:r>
          </w:p>
        </w:tc>
        <w:tc>
          <w:tcPr>
            <w:tcW w:w="7815" w:type="dxa"/>
            <w:gridSpan w:val="2"/>
            <w:noWrap/>
          </w:tcPr>
          <w:p w14:paraId="59FA991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输入功率: ≥80W</w:t>
            </w:r>
          </w:p>
        </w:tc>
      </w:tr>
      <w:tr w14:paraId="024E2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042984B1">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3</w:t>
            </w:r>
          </w:p>
        </w:tc>
        <w:tc>
          <w:tcPr>
            <w:tcW w:w="7815" w:type="dxa"/>
            <w:gridSpan w:val="2"/>
            <w:noWrap/>
          </w:tcPr>
          <w:p w14:paraId="7D5D57B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防电击类型:I类</w:t>
            </w:r>
          </w:p>
        </w:tc>
      </w:tr>
      <w:tr w14:paraId="63A94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30D97E29">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4</w:t>
            </w:r>
          </w:p>
        </w:tc>
        <w:tc>
          <w:tcPr>
            <w:tcW w:w="7815" w:type="dxa"/>
            <w:gridSpan w:val="2"/>
            <w:noWrap/>
          </w:tcPr>
          <w:p w14:paraId="19A9DF1C">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防电击的程度:具有BF型</w:t>
            </w:r>
          </w:p>
        </w:tc>
      </w:tr>
      <w:tr w14:paraId="1E88C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039F3452">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5</w:t>
            </w:r>
          </w:p>
        </w:tc>
        <w:tc>
          <w:tcPr>
            <w:tcW w:w="7815" w:type="dxa"/>
            <w:gridSpan w:val="2"/>
            <w:noWrap/>
          </w:tcPr>
          <w:p w14:paraId="78A3DACB">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对有害进液的防护程度:普通设备(不防进液的封闭设备)</w:t>
            </w:r>
          </w:p>
        </w:tc>
      </w:tr>
      <w:tr w14:paraId="1FED4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1EDA66BF">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6</w:t>
            </w:r>
          </w:p>
        </w:tc>
        <w:tc>
          <w:tcPr>
            <w:tcW w:w="7815" w:type="dxa"/>
            <w:gridSpan w:val="2"/>
            <w:noWrap/>
          </w:tcPr>
          <w:p w14:paraId="33DD88F0">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按工作制式分:连续运行</w:t>
            </w:r>
          </w:p>
        </w:tc>
      </w:tr>
      <w:tr w14:paraId="36438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166" w:type="dxa"/>
            <w:noWrap/>
          </w:tcPr>
          <w:p w14:paraId="6C7A5246">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7</w:t>
            </w:r>
          </w:p>
        </w:tc>
        <w:tc>
          <w:tcPr>
            <w:tcW w:w="7815" w:type="dxa"/>
            <w:gridSpan w:val="2"/>
            <w:noWrap/>
          </w:tcPr>
          <w:p w14:paraId="160A2CDC">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最大流量：≥0.5L/min（液体）</w:t>
            </w:r>
          </w:p>
        </w:tc>
      </w:tr>
      <w:tr w14:paraId="1B713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166" w:type="dxa"/>
            <w:noWrap/>
          </w:tcPr>
          <w:p w14:paraId="119A3998">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8</w:t>
            </w:r>
          </w:p>
        </w:tc>
        <w:tc>
          <w:tcPr>
            <w:tcW w:w="7815" w:type="dxa"/>
            <w:gridSpan w:val="2"/>
            <w:noWrap/>
          </w:tcPr>
          <w:p w14:paraId="17FD4B98">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流量调节范围: 0～2200ml/min</w:t>
            </w:r>
          </w:p>
        </w:tc>
      </w:tr>
      <w:tr w14:paraId="563AA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0363CAB5">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9</w:t>
            </w:r>
          </w:p>
        </w:tc>
        <w:tc>
          <w:tcPr>
            <w:tcW w:w="7815" w:type="dxa"/>
            <w:gridSpan w:val="2"/>
            <w:noWrap/>
          </w:tcPr>
          <w:p w14:paraId="3A5CB896">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压力调节范围:0～250mmHg可调</w:t>
            </w:r>
          </w:p>
        </w:tc>
      </w:tr>
      <w:tr w14:paraId="56372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2A32B9FA">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10</w:t>
            </w:r>
          </w:p>
        </w:tc>
        <w:tc>
          <w:tcPr>
            <w:tcW w:w="7815" w:type="dxa"/>
            <w:gridSpan w:val="2"/>
            <w:noWrap/>
          </w:tcPr>
          <w:p w14:paraId="4030AAF5">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操作温度:+10℃～+40℃</w:t>
            </w:r>
          </w:p>
        </w:tc>
      </w:tr>
      <w:tr w14:paraId="5E39C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66" w:type="dxa"/>
            <w:noWrap/>
          </w:tcPr>
          <w:p w14:paraId="10EB5BFC">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11</w:t>
            </w:r>
          </w:p>
        </w:tc>
        <w:tc>
          <w:tcPr>
            <w:tcW w:w="7815" w:type="dxa"/>
            <w:gridSpan w:val="2"/>
            <w:noWrap/>
          </w:tcPr>
          <w:p w14:paraId="2C153519">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湿度:30%～75%</w:t>
            </w:r>
          </w:p>
        </w:tc>
      </w:tr>
      <w:tr w14:paraId="41F0C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66" w:type="dxa"/>
            <w:noWrap/>
          </w:tcPr>
          <w:p w14:paraId="03D1C8A2">
            <w:pPr>
              <w:jc w:val="center"/>
              <w:rPr>
                <w:rFonts w:ascii="微软雅黑" w:hAnsi="微软雅黑" w:eastAsia="微软雅黑"/>
                <w:b/>
                <w:bCs/>
                <w:color w:val="000000" w:themeColor="text1"/>
                <w:sz w:val="22"/>
                <w14:textFill>
                  <w14:solidFill>
                    <w14:schemeClr w14:val="tx1"/>
                  </w14:solidFill>
                </w14:textFill>
              </w:rPr>
            </w:pPr>
            <w:r>
              <w:rPr>
                <w:rFonts w:hint="eastAsia" w:ascii="微软雅黑" w:hAnsi="微软雅黑" w:eastAsia="微软雅黑"/>
                <w:b/>
                <w:bCs/>
                <w:color w:val="000000" w:themeColor="text1"/>
                <w:sz w:val="22"/>
                <w14:textFill>
                  <w14:solidFill>
                    <w14:schemeClr w14:val="tx1"/>
                  </w14:solidFill>
                </w14:textFill>
              </w:rPr>
              <w:t>二</w:t>
            </w:r>
          </w:p>
        </w:tc>
        <w:tc>
          <w:tcPr>
            <w:tcW w:w="7815" w:type="dxa"/>
            <w:gridSpan w:val="2"/>
            <w:noWrap/>
          </w:tcPr>
          <w:p w14:paraId="29914B1A">
            <w:pPr>
              <w:jc w:val="center"/>
              <w:rPr>
                <w:rFonts w:ascii="微软雅黑" w:hAnsi="微软雅黑" w:eastAsia="微软雅黑"/>
                <w:b/>
                <w:bCs/>
                <w:color w:val="000000" w:themeColor="text1"/>
                <w:sz w:val="22"/>
                <w14:textFill>
                  <w14:solidFill>
                    <w14:schemeClr w14:val="tx1"/>
                  </w14:solidFill>
                </w14:textFill>
              </w:rPr>
            </w:pPr>
            <w:r>
              <w:rPr>
                <w:rFonts w:hint="eastAsia" w:ascii="微软雅黑" w:hAnsi="微软雅黑" w:eastAsia="微软雅黑"/>
                <w:b/>
                <w:bCs/>
                <w:color w:val="000000" w:themeColor="text1"/>
                <w:sz w:val="22"/>
                <w14:textFill>
                  <w14:solidFill>
                    <w14:schemeClr w14:val="tx1"/>
                  </w14:solidFill>
                </w14:textFill>
              </w:rPr>
              <w:t>商务条款</w:t>
            </w:r>
          </w:p>
        </w:tc>
      </w:tr>
      <w:tr w14:paraId="6E239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166" w:type="dxa"/>
            <w:noWrap/>
          </w:tcPr>
          <w:p w14:paraId="44D72837">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w:t>
            </w:r>
          </w:p>
        </w:tc>
        <w:tc>
          <w:tcPr>
            <w:tcW w:w="7815" w:type="dxa"/>
            <w:gridSpan w:val="2"/>
          </w:tcPr>
          <w:p w14:paraId="170FD234">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付款方式：货物验收合格后一个月内支付合同总额的90%，余款10%在满三年付清；</w:t>
            </w:r>
            <w:r>
              <w:rPr>
                <w:rFonts w:hint="eastAsia" w:ascii="微软雅黑" w:hAnsi="微软雅黑" w:eastAsia="微软雅黑"/>
                <w:color w:val="000000" w:themeColor="text1"/>
                <w:sz w:val="22"/>
                <w14:textFill>
                  <w14:solidFill>
                    <w14:schemeClr w14:val="tx1"/>
                  </w14:solidFill>
                </w14:textFill>
              </w:rPr>
              <w:br w:type="textWrapping"/>
            </w:r>
            <w:r>
              <w:rPr>
                <w:rFonts w:hint="eastAsia" w:ascii="微软雅黑" w:hAnsi="微软雅黑" w:eastAsia="微软雅黑"/>
                <w:color w:val="000000" w:themeColor="text1"/>
                <w:sz w:val="22"/>
                <w14:textFill>
                  <w14:solidFill>
                    <w14:schemeClr w14:val="tx1"/>
                  </w14:solidFill>
                </w14:textFill>
              </w:rPr>
              <w:t>付款前供应商需提供相应金额发票。</w:t>
            </w:r>
          </w:p>
        </w:tc>
      </w:tr>
      <w:tr w14:paraId="5D4DB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166" w:type="dxa"/>
            <w:noWrap/>
          </w:tcPr>
          <w:p w14:paraId="11D42FB4">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2</w:t>
            </w:r>
          </w:p>
        </w:tc>
        <w:tc>
          <w:tcPr>
            <w:tcW w:w="7815" w:type="dxa"/>
            <w:gridSpan w:val="2"/>
            <w:noWrap/>
          </w:tcPr>
          <w:p w14:paraId="0417FADA">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质保期：整机质保三年</w:t>
            </w:r>
          </w:p>
        </w:tc>
      </w:tr>
      <w:tr w14:paraId="604C8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2" w:hRule="atLeast"/>
        </w:trPr>
        <w:tc>
          <w:tcPr>
            <w:tcW w:w="1166" w:type="dxa"/>
            <w:noWrap/>
          </w:tcPr>
          <w:p w14:paraId="676F38EA">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3</w:t>
            </w:r>
          </w:p>
        </w:tc>
        <w:tc>
          <w:tcPr>
            <w:tcW w:w="7815" w:type="dxa"/>
            <w:gridSpan w:val="2"/>
          </w:tcPr>
          <w:p w14:paraId="1A40DE0B">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售后服务：签订合同后30日内到货</w:t>
            </w:r>
            <w:r>
              <w:rPr>
                <w:rFonts w:hint="eastAsia" w:ascii="微软雅黑" w:hAnsi="微软雅黑" w:eastAsia="微软雅黑"/>
                <w:color w:val="000000" w:themeColor="text1"/>
                <w:sz w:val="22"/>
                <w14:textFill>
                  <w14:solidFill>
                    <w14:schemeClr w14:val="tx1"/>
                  </w14:solidFill>
                </w14:textFill>
              </w:rPr>
              <w:br w:type="textWrapping"/>
            </w:r>
            <w:r>
              <w:rPr>
                <w:rFonts w:hint="eastAsia" w:ascii="微软雅黑" w:hAnsi="微软雅黑" w:eastAsia="微软雅黑"/>
                <w:color w:val="000000" w:themeColor="text1"/>
                <w:sz w:val="22"/>
                <w14:textFill>
                  <w14:solidFill>
                    <w14:schemeClr w14:val="tx1"/>
                  </w14:solidFill>
                </w14:textFill>
              </w:rPr>
              <w:t>1、供应商所投产品必须提供自通过最终验收合格、签署验收合格证书并办理移交手续之日起三年的质量保证期；</w:t>
            </w:r>
            <w:r>
              <w:rPr>
                <w:rFonts w:hint="eastAsia" w:ascii="微软雅黑" w:hAnsi="微软雅黑" w:eastAsia="微软雅黑"/>
                <w:color w:val="000000" w:themeColor="text1"/>
                <w:sz w:val="22"/>
                <w14:textFill>
                  <w14:solidFill>
                    <w14:schemeClr w14:val="tx1"/>
                  </w14:solidFill>
                </w14:textFill>
              </w:rPr>
              <w:br w:type="textWrapping"/>
            </w:r>
            <w:r>
              <w:rPr>
                <w:rFonts w:hint="eastAsia" w:ascii="微软雅黑" w:hAnsi="微软雅黑" w:eastAsia="微软雅黑"/>
                <w:color w:val="000000" w:themeColor="text1"/>
                <w:sz w:val="22"/>
                <w14:textFill>
                  <w14:solidFill>
                    <w14:schemeClr w14:val="tx1"/>
                  </w14:solidFill>
                </w14:textFill>
              </w:rPr>
              <w:t xml:space="preserve">2、在本项目承诺的免费质量保证期内实行“三包”服务。质保期内免费上门服务及技术支持，每年由维修工程师提供至少2次的上门维护保养工作； </w:t>
            </w:r>
            <w:r>
              <w:rPr>
                <w:rFonts w:hint="eastAsia" w:ascii="微软雅黑" w:hAnsi="微软雅黑" w:eastAsia="微软雅黑"/>
                <w:color w:val="000000" w:themeColor="text1"/>
                <w:sz w:val="22"/>
                <w14:textFill>
                  <w14:solidFill>
                    <w14:schemeClr w14:val="tx1"/>
                  </w14:solidFill>
                </w14:textFill>
              </w:rPr>
              <w:br w:type="textWrapping"/>
            </w:r>
            <w:r>
              <w:rPr>
                <w:rFonts w:hint="eastAsia" w:ascii="微软雅黑" w:hAnsi="微软雅黑" w:eastAsia="微软雅黑"/>
                <w:color w:val="000000" w:themeColor="text1"/>
                <w:sz w:val="22"/>
                <w14:textFill>
                  <w14:solidFill>
                    <w14:schemeClr w14:val="tx1"/>
                  </w14:solidFill>
                </w14:textFill>
              </w:rPr>
              <w:t>3、质量保证期内中标供应商应对由于设计、工艺或材料的缺陷而发生的任何不足和故障负责任。</w:t>
            </w:r>
            <w:r>
              <w:rPr>
                <w:rFonts w:hint="eastAsia" w:ascii="微软雅黑" w:hAnsi="微软雅黑" w:eastAsia="微软雅黑"/>
                <w:color w:val="000000" w:themeColor="text1"/>
                <w:sz w:val="22"/>
                <w14:textFill>
                  <w14:solidFill>
                    <w14:schemeClr w14:val="tx1"/>
                  </w14:solidFill>
                </w14:textFill>
              </w:rPr>
              <w:br w:type="textWrapping"/>
            </w:r>
            <w:r>
              <w:rPr>
                <w:rFonts w:hint="eastAsia" w:ascii="微软雅黑" w:hAnsi="微软雅黑" w:eastAsia="微软雅黑"/>
                <w:color w:val="000000" w:themeColor="text1"/>
                <w:sz w:val="22"/>
                <w14:textFill>
                  <w14:solidFill>
                    <w14:schemeClr w14:val="tx1"/>
                  </w14:solidFill>
                </w14:textFill>
              </w:rPr>
              <w:t>4、中标供应商的其它售后服务承诺属于本合同的一部分，如果有不同约定的，以服务水平和层级更高的为准。</w:t>
            </w:r>
          </w:p>
        </w:tc>
      </w:tr>
      <w:tr w14:paraId="4508D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1C0CB46B">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4</w:t>
            </w:r>
          </w:p>
        </w:tc>
        <w:tc>
          <w:tcPr>
            <w:tcW w:w="7815" w:type="dxa"/>
            <w:gridSpan w:val="2"/>
          </w:tcPr>
          <w:p w14:paraId="1E9B1B6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验收时间：供应商提出验收申请日10个工作日内组织验收</w:t>
            </w:r>
          </w:p>
        </w:tc>
      </w:tr>
      <w:tr w14:paraId="35C75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66" w:type="dxa"/>
            <w:noWrap/>
          </w:tcPr>
          <w:p w14:paraId="105D690F">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5</w:t>
            </w:r>
          </w:p>
        </w:tc>
        <w:tc>
          <w:tcPr>
            <w:tcW w:w="7815" w:type="dxa"/>
            <w:gridSpan w:val="2"/>
            <w:noWrap/>
          </w:tcPr>
          <w:p w14:paraId="1EF59B1F">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验收内容：按照投标文件及合同内技术和商务要求进行履约</w:t>
            </w:r>
          </w:p>
        </w:tc>
      </w:tr>
      <w:tr w14:paraId="741EB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24387B74">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6</w:t>
            </w:r>
          </w:p>
        </w:tc>
        <w:tc>
          <w:tcPr>
            <w:tcW w:w="7815" w:type="dxa"/>
            <w:gridSpan w:val="2"/>
            <w:noWrap/>
          </w:tcPr>
          <w:p w14:paraId="6CD639FE">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验收方法：一次性验收</w:t>
            </w:r>
          </w:p>
        </w:tc>
      </w:tr>
      <w:tr w14:paraId="296D4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66" w:type="dxa"/>
            <w:noWrap/>
          </w:tcPr>
          <w:p w14:paraId="78D631CB">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7</w:t>
            </w:r>
          </w:p>
        </w:tc>
        <w:tc>
          <w:tcPr>
            <w:tcW w:w="7815" w:type="dxa"/>
            <w:gridSpan w:val="2"/>
            <w:noWrap/>
          </w:tcPr>
          <w:p w14:paraId="45DB8481">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验收标准：以投标文件及合同为验收标准</w:t>
            </w:r>
          </w:p>
        </w:tc>
      </w:tr>
      <w:tr w14:paraId="73D48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66" w:type="dxa"/>
            <w:noWrap/>
          </w:tcPr>
          <w:p w14:paraId="276A5F8B">
            <w:pPr>
              <w:jc w:val="center"/>
              <w:rPr>
                <w:rFonts w:ascii="微软雅黑" w:hAnsi="微软雅黑" w:eastAsia="微软雅黑"/>
                <w:b/>
                <w:bCs/>
                <w:color w:val="000000" w:themeColor="text1"/>
                <w:sz w:val="22"/>
                <w14:textFill>
                  <w14:solidFill>
                    <w14:schemeClr w14:val="tx1"/>
                  </w14:solidFill>
                </w14:textFill>
              </w:rPr>
            </w:pPr>
            <w:r>
              <w:rPr>
                <w:rFonts w:hint="eastAsia" w:ascii="微软雅黑" w:hAnsi="微软雅黑" w:eastAsia="微软雅黑"/>
                <w:b/>
                <w:bCs/>
                <w:color w:val="000000" w:themeColor="text1"/>
                <w:sz w:val="22"/>
                <w14:textFill>
                  <w14:solidFill>
                    <w14:schemeClr w14:val="tx1"/>
                  </w14:solidFill>
                </w14:textFill>
              </w:rPr>
              <w:t>三</w:t>
            </w:r>
          </w:p>
        </w:tc>
        <w:tc>
          <w:tcPr>
            <w:tcW w:w="6189" w:type="dxa"/>
            <w:noWrap/>
          </w:tcPr>
          <w:p w14:paraId="6499E565">
            <w:pPr>
              <w:jc w:val="center"/>
              <w:rPr>
                <w:rFonts w:ascii="微软雅黑" w:hAnsi="微软雅黑" w:eastAsia="微软雅黑"/>
                <w:b/>
                <w:bCs/>
                <w:color w:val="000000" w:themeColor="text1"/>
                <w:sz w:val="22"/>
                <w14:textFill>
                  <w14:solidFill>
                    <w14:schemeClr w14:val="tx1"/>
                  </w14:solidFill>
                </w14:textFill>
              </w:rPr>
            </w:pPr>
            <w:r>
              <w:rPr>
                <w:rFonts w:hint="eastAsia" w:ascii="微软雅黑" w:hAnsi="微软雅黑" w:eastAsia="微软雅黑"/>
                <w:b/>
                <w:bCs/>
                <w:color w:val="000000" w:themeColor="text1"/>
                <w:sz w:val="22"/>
                <w14:textFill>
                  <w14:solidFill>
                    <w14:schemeClr w14:val="tx1"/>
                  </w14:solidFill>
                </w14:textFill>
              </w:rPr>
              <w:t>配置清单（单台）</w:t>
            </w:r>
          </w:p>
        </w:tc>
        <w:tc>
          <w:tcPr>
            <w:tcW w:w="1626" w:type="dxa"/>
            <w:noWrap/>
          </w:tcPr>
          <w:p w14:paraId="673AAB38">
            <w:pPr>
              <w:jc w:val="center"/>
              <w:rPr>
                <w:rFonts w:ascii="微软雅黑" w:hAnsi="微软雅黑" w:eastAsia="微软雅黑"/>
                <w:b/>
                <w:bCs/>
                <w:color w:val="000000" w:themeColor="text1"/>
                <w:sz w:val="22"/>
                <w14:textFill>
                  <w14:solidFill>
                    <w14:schemeClr w14:val="tx1"/>
                  </w14:solidFill>
                </w14:textFill>
              </w:rPr>
            </w:pPr>
            <w:r>
              <w:rPr>
                <w:rFonts w:hint="eastAsia" w:ascii="微软雅黑" w:hAnsi="微软雅黑" w:eastAsia="微软雅黑"/>
                <w:b/>
                <w:bCs/>
                <w:color w:val="000000" w:themeColor="text1"/>
                <w:sz w:val="22"/>
                <w14:textFill>
                  <w14:solidFill>
                    <w14:schemeClr w14:val="tx1"/>
                  </w14:solidFill>
                </w14:textFill>
              </w:rPr>
              <w:t>数量</w:t>
            </w:r>
          </w:p>
        </w:tc>
      </w:tr>
      <w:tr w14:paraId="097DD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717BCB53">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（一）</w:t>
            </w:r>
          </w:p>
        </w:tc>
        <w:tc>
          <w:tcPr>
            <w:tcW w:w="6189" w:type="dxa"/>
            <w:noWrap/>
          </w:tcPr>
          <w:p w14:paraId="603F3EDB">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尿道膀胱镜</w:t>
            </w:r>
          </w:p>
        </w:tc>
        <w:tc>
          <w:tcPr>
            <w:tcW w:w="1626" w:type="dxa"/>
            <w:noWrap/>
          </w:tcPr>
          <w:p w14:paraId="268E6E95">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　</w:t>
            </w:r>
          </w:p>
        </w:tc>
      </w:tr>
      <w:tr w14:paraId="72321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1F551AF8">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w:t>
            </w:r>
          </w:p>
        </w:tc>
        <w:tc>
          <w:tcPr>
            <w:tcW w:w="6189" w:type="dxa"/>
            <w:noWrap/>
          </w:tcPr>
          <w:p w14:paraId="72B12D72">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0° 内窥镜</w:t>
            </w:r>
          </w:p>
        </w:tc>
        <w:tc>
          <w:tcPr>
            <w:tcW w:w="1626" w:type="dxa"/>
            <w:noWrap/>
          </w:tcPr>
          <w:p w14:paraId="7913C12D">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1支</w:t>
            </w:r>
          </w:p>
        </w:tc>
      </w:tr>
      <w:tr w14:paraId="32275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42C6D2DA">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2</w:t>
            </w:r>
          </w:p>
        </w:tc>
        <w:tc>
          <w:tcPr>
            <w:tcW w:w="6189" w:type="dxa"/>
            <w:noWrap/>
          </w:tcPr>
          <w:p w14:paraId="18DA42AD">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30°内窥镜</w:t>
            </w:r>
          </w:p>
        </w:tc>
        <w:tc>
          <w:tcPr>
            <w:tcW w:w="1626" w:type="dxa"/>
            <w:noWrap/>
          </w:tcPr>
          <w:p w14:paraId="71DFBFC0">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1支</w:t>
            </w:r>
          </w:p>
        </w:tc>
      </w:tr>
      <w:tr w14:paraId="1E783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5C18F0E1">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3</w:t>
            </w:r>
          </w:p>
        </w:tc>
        <w:tc>
          <w:tcPr>
            <w:tcW w:w="6189" w:type="dxa"/>
            <w:noWrap/>
          </w:tcPr>
          <w:p w14:paraId="10BDFD28">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70°内窥镜</w:t>
            </w:r>
          </w:p>
        </w:tc>
        <w:tc>
          <w:tcPr>
            <w:tcW w:w="1626" w:type="dxa"/>
            <w:noWrap/>
          </w:tcPr>
          <w:p w14:paraId="65FAC47C">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1支</w:t>
            </w:r>
          </w:p>
        </w:tc>
      </w:tr>
      <w:tr w14:paraId="14824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05DB06F6">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4</w:t>
            </w:r>
          </w:p>
        </w:tc>
        <w:tc>
          <w:tcPr>
            <w:tcW w:w="6189" w:type="dxa"/>
            <w:noWrap/>
          </w:tcPr>
          <w:p w14:paraId="27C2E29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镜鞘及闭孔器</w:t>
            </w:r>
          </w:p>
        </w:tc>
        <w:tc>
          <w:tcPr>
            <w:tcW w:w="1626" w:type="dxa"/>
            <w:noWrap/>
          </w:tcPr>
          <w:p w14:paraId="6DE6FCAC">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2支</w:t>
            </w:r>
          </w:p>
        </w:tc>
      </w:tr>
      <w:tr w14:paraId="7B84F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25D6F5AA">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5</w:t>
            </w:r>
          </w:p>
        </w:tc>
        <w:tc>
          <w:tcPr>
            <w:tcW w:w="6189" w:type="dxa"/>
            <w:noWrap/>
          </w:tcPr>
          <w:p w14:paraId="30771147">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操作器</w:t>
            </w:r>
          </w:p>
        </w:tc>
        <w:tc>
          <w:tcPr>
            <w:tcW w:w="1626" w:type="dxa"/>
            <w:noWrap/>
          </w:tcPr>
          <w:p w14:paraId="412AAA23">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1支</w:t>
            </w:r>
          </w:p>
        </w:tc>
      </w:tr>
      <w:tr w14:paraId="5D655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538CBCD9">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6</w:t>
            </w:r>
          </w:p>
        </w:tc>
        <w:tc>
          <w:tcPr>
            <w:tcW w:w="6189" w:type="dxa"/>
            <w:noWrap/>
          </w:tcPr>
          <w:p w14:paraId="7228BC4E">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软性活检钳</w:t>
            </w:r>
          </w:p>
        </w:tc>
        <w:tc>
          <w:tcPr>
            <w:tcW w:w="1626" w:type="dxa"/>
            <w:noWrap/>
          </w:tcPr>
          <w:p w14:paraId="33CB1F3D">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1把</w:t>
            </w:r>
          </w:p>
        </w:tc>
      </w:tr>
      <w:tr w14:paraId="347C9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03357811">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7</w:t>
            </w:r>
          </w:p>
        </w:tc>
        <w:tc>
          <w:tcPr>
            <w:tcW w:w="6189" w:type="dxa"/>
            <w:noWrap/>
          </w:tcPr>
          <w:p w14:paraId="0CDF4D34">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软性异物钳</w:t>
            </w:r>
          </w:p>
        </w:tc>
        <w:tc>
          <w:tcPr>
            <w:tcW w:w="1626" w:type="dxa"/>
            <w:noWrap/>
          </w:tcPr>
          <w:p w14:paraId="641CCF81">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1把</w:t>
            </w:r>
          </w:p>
        </w:tc>
      </w:tr>
      <w:tr w14:paraId="25991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10C628D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8</w:t>
            </w:r>
          </w:p>
        </w:tc>
        <w:tc>
          <w:tcPr>
            <w:tcW w:w="6189" w:type="dxa"/>
            <w:noWrap/>
          </w:tcPr>
          <w:p w14:paraId="754A7598">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单插管镜桥</w:t>
            </w:r>
          </w:p>
        </w:tc>
        <w:tc>
          <w:tcPr>
            <w:tcW w:w="1626" w:type="dxa"/>
            <w:noWrap/>
          </w:tcPr>
          <w:p w14:paraId="3AD1C067">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1支</w:t>
            </w:r>
          </w:p>
        </w:tc>
      </w:tr>
      <w:tr w14:paraId="0133C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56327930">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9</w:t>
            </w:r>
          </w:p>
        </w:tc>
        <w:tc>
          <w:tcPr>
            <w:tcW w:w="6189" w:type="dxa"/>
            <w:noWrap/>
          </w:tcPr>
          <w:p w14:paraId="082ECDBE">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进水接头</w:t>
            </w:r>
          </w:p>
        </w:tc>
        <w:tc>
          <w:tcPr>
            <w:tcW w:w="1626" w:type="dxa"/>
            <w:noWrap/>
          </w:tcPr>
          <w:p w14:paraId="7079FAB9">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1只</w:t>
            </w:r>
          </w:p>
        </w:tc>
      </w:tr>
      <w:tr w14:paraId="55D2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38CEB3C8">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10</w:t>
            </w:r>
          </w:p>
        </w:tc>
        <w:tc>
          <w:tcPr>
            <w:tcW w:w="6189" w:type="dxa"/>
            <w:noWrap/>
          </w:tcPr>
          <w:p w14:paraId="202C9BD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密 封 帽</w:t>
            </w:r>
          </w:p>
        </w:tc>
        <w:tc>
          <w:tcPr>
            <w:tcW w:w="1626" w:type="dxa"/>
            <w:noWrap/>
          </w:tcPr>
          <w:p w14:paraId="75795E41">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10粒</w:t>
            </w:r>
          </w:p>
        </w:tc>
      </w:tr>
      <w:tr w14:paraId="6A410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5E01EF49">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11</w:t>
            </w:r>
          </w:p>
        </w:tc>
        <w:tc>
          <w:tcPr>
            <w:tcW w:w="6189" w:type="dxa"/>
            <w:noWrap/>
          </w:tcPr>
          <w:p w14:paraId="32522E10">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清 洗 刷</w:t>
            </w:r>
          </w:p>
        </w:tc>
        <w:tc>
          <w:tcPr>
            <w:tcW w:w="1626" w:type="dxa"/>
            <w:noWrap/>
          </w:tcPr>
          <w:p w14:paraId="151C4546">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1支</w:t>
            </w:r>
          </w:p>
        </w:tc>
      </w:tr>
      <w:tr w14:paraId="6767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33367D68">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（二）</w:t>
            </w:r>
          </w:p>
        </w:tc>
        <w:tc>
          <w:tcPr>
            <w:tcW w:w="6189" w:type="dxa"/>
            <w:noWrap/>
          </w:tcPr>
          <w:p w14:paraId="63DB3E8D">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加压器</w:t>
            </w:r>
          </w:p>
        </w:tc>
        <w:tc>
          <w:tcPr>
            <w:tcW w:w="1626" w:type="dxa"/>
            <w:noWrap/>
          </w:tcPr>
          <w:p w14:paraId="702A5360">
            <w:pPr>
              <w:jc w:val="center"/>
              <w:rPr>
                <w:rFonts w:ascii="微软雅黑" w:hAnsi="微软雅黑" w:eastAsia="微软雅黑"/>
                <w:color w:val="000000" w:themeColor="text1"/>
                <w:sz w:val="22"/>
                <w14:textFill>
                  <w14:solidFill>
                    <w14:schemeClr w14:val="tx1"/>
                  </w14:solidFill>
                </w14:textFill>
              </w:rPr>
            </w:pPr>
          </w:p>
        </w:tc>
      </w:tr>
      <w:tr w14:paraId="01027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3074DCCC">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w:t>
            </w:r>
          </w:p>
        </w:tc>
        <w:tc>
          <w:tcPr>
            <w:tcW w:w="6189" w:type="dxa"/>
            <w:noWrap/>
          </w:tcPr>
          <w:p w14:paraId="6EF54030">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加压器（蠕动泵）</w:t>
            </w:r>
          </w:p>
        </w:tc>
        <w:tc>
          <w:tcPr>
            <w:tcW w:w="1626" w:type="dxa"/>
            <w:noWrap/>
          </w:tcPr>
          <w:p w14:paraId="5F50DFB3">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1台</w:t>
            </w:r>
          </w:p>
        </w:tc>
      </w:tr>
      <w:tr w14:paraId="58615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3A4ED777">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2</w:t>
            </w:r>
          </w:p>
        </w:tc>
        <w:tc>
          <w:tcPr>
            <w:tcW w:w="6189" w:type="dxa"/>
            <w:noWrap/>
          </w:tcPr>
          <w:p w14:paraId="434B991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传感器</w:t>
            </w:r>
          </w:p>
        </w:tc>
        <w:tc>
          <w:tcPr>
            <w:tcW w:w="1626" w:type="dxa"/>
            <w:noWrap/>
          </w:tcPr>
          <w:p w14:paraId="7833ABBF">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1套</w:t>
            </w:r>
          </w:p>
        </w:tc>
      </w:tr>
      <w:tr w14:paraId="6392A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1255033E">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3</w:t>
            </w:r>
          </w:p>
        </w:tc>
        <w:tc>
          <w:tcPr>
            <w:tcW w:w="6189" w:type="dxa"/>
            <w:noWrap/>
          </w:tcPr>
          <w:p w14:paraId="0D73220C">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短穿刺针</w:t>
            </w:r>
          </w:p>
        </w:tc>
        <w:tc>
          <w:tcPr>
            <w:tcW w:w="1626" w:type="dxa"/>
            <w:noWrap/>
          </w:tcPr>
          <w:p w14:paraId="1F02130B">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1根</w:t>
            </w:r>
          </w:p>
        </w:tc>
      </w:tr>
      <w:tr w14:paraId="30C6A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2C8F1581">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4</w:t>
            </w:r>
          </w:p>
        </w:tc>
        <w:tc>
          <w:tcPr>
            <w:tcW w:w="6189" w:type="dxa"/>
            <w:noWrap/>
          </w:tcPr>
          <w:p w14:paraId="64148752">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灌注管路</w:t>
            </w:r>
          </w:p>
        </w:tc>
        <w:tc>
          <w:tcPr>
            <w:tcW w:w="1626" w:type="dxa"/>
            <w:noWrap/>
          </w:tcPr>
          <w:p w14:paraId="0F21A447">
            <w:pPr>
              <w:jc w:val="cente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1套</w:t>
            </w:r>
          </w:p>
        </w:tc>
      </w:tr>
      <w:tr w14:paraId="6B312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66" w:type="dxa"/>
            <w:noWrap/>
          </w:tcPr>
          <w:p w14:paraId="6474DC4C">
            <w:pPr>
              <w:jc w:val="center"/>
              <w:rPr>
                <w:rFonts w:ascii="微软雅黑" w:hAnsi="微软雅黑" w:eastAsia="微软雅黑"/>
                <w:b/>
                <w:bCs/>
                <w:color w:val="000000" w:themeColor="text1"/>
                <w:sz w:val="22"/>
                <w14:textFill>
                  <w14:solidFill>
                    <w14:schemeClr w14:val="tx1"/>
                  </w14:solidFill>
                </w14:textFill>
              </w:rPr>
            </w:pPr>
            <w:r>
              <w:rPr>
                <w:rFonts w:hint="eastAsia" w:ascii="微软雅黑" w:hAnsi="微软雅黑" w:eastAsia="微软雅黑"/>
                <w:b/>
                <w:bCs/>
                <w:color w:val="000000" w:themeColor="text1"/>
                <w:sz w:val="22"/>
                <w14:textFill>
                  <w14:solidFill>
                    <w14:schemeClr w14:val="tx1"/>
                  </w14:solidFill>
                </w14:textFill>
              </w:rPr>
              <w:t>四</w:t>
            </w:r>
          </w:p>
        </w:tc>
        <w:tc>
          <w:tcPr>
            <w:tcW w:w="7815" w:type="dxa"/>
            <w:gridSpan w:val="2"/>
            <w:noWrap/>
          </w:tcPr>
          <w:p w14:paraId="6D471E9E">
            <w:pPr>
              <w:jc w:val="center"/>
              <w:rPr>
                <w:rFonts w:ascii="微软雅黑" w:hAnsi="微软雅黑" w:eastAsia="微软雅黑"/>
                <w:b/>
                <w:bCs/>
                <w:color w:val="000000" w:themeColor="text1"/>
                <w:sz w:val="22"/>
                <w14:textFill>
                  <w14:solidFill>
                    <w14:schemeClr w14:val="tx1"/>
                  </w14:solidFill>
                </w14:textFill>
              </w:rPr>
            </w:pPr>
            <w:r>
              <w:rPr>
                <w:rFonts w:hint="eastAsia" w:ascii="微软雅黑" w:hAnsi="微软雅黑" w:eastAsia="微软雅黑"/>
                <w:b/>
                <w:bCs/>
                <w:color w:val="000000" w:themeColor="text1"/>
                <w:sz w:val="22"/>
                <w14:textFill>
                  <w14:solidFill>
                    <w14:schemeClr w14:val="tx1"/>
                  </w14:solidFill>
                </w14:textFill>
              </w:rPr>
              <w:t>评审规则（总分10）</w:t>
            </w:r>
          </w:p>
        </w:tc>
      </w:tr>
      <w:tr w14:paraId="1D862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166" w:type="dxa"/>
            <w:noWrap/>
          </w:tcPr>
          <w:p w14:paraId="2B7AFAAC">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评分点</w:t>
            </w:r>
          </w:p>
        </w:tc>
        <w:tc>
          <w:tcPr>
            <w:tcW w:w="6189" w:type="dxa"/>
            <w:noWrap/>
          </w:tcPr>
          <w:p w14:paraId="5B8EE762">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评分细则</w:t>
            </w:r>
          </w:p>
        </w:tc>
        <w:tc>
          <w:tcPr>
            <w:tcW w:w="1626" w:type="dxa"/>
            <w:noWrap/>
          </w:tcPr>
          <w:p w14:paraId="3255D6BF">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分值</w:t>
            </w:r>
          </w:p>
        </w:tc>
      </w:tr>
      <w:tr w14:paraId="7FD63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355" w:type="dxa"/>
            <w:gridSpan w:val="2"/>
          </w:tcPr>
          <w:p w14:paraId="5050872D">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（一）价格评分（3分）</w:t>
            </w:r>
          </w:p>
        </w:tc>
        <w:tc>
          <w:tcPr>
            <w:tcW w:w="1626" w:type="dxa"/>
          </w:tcPr>
          <w:p w14:paraId="7C9479B4">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　</w:t>
            </w:r>
          </w:p>
        </w:tc>
      </w:tr>
      <w:tr w14:paraId="7D3AD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166" w:type="dxa"/>
          </w:tcPr>
          <w:p w14:paraId="26DD9DD0">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评分公式</w:t>
            </w:r>
          </w:p>
        </w:tc>
        <w:tc>
          <w:tcPr>
            <w:tcW w:w="6189" w:type="dxa"/>
          </w:tcPr>
          <w:p w14:paraId="0C4BE197">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投标报价得分=（评标基准价/投标报价）×3分</w:t>
            </w:r>
          </w:p>
        </w:tc>
        <w:tc>
          <w:tcPr>
            <w:tcW w:w="1626" w:type="dxa"/>
            <w:noWrap/>
          </w:tcPr>
          <w:p w14:paraId="57452BF4">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3分</w:t>
            </w:r>
          </w:p>
        </w:tc>
      </w:tr>
      <w:tr w14:paraId="410C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7355" w:type="dxa"/>
            <w:gridSpan w:val="2"/>
          </w:tcPr>
          <w:p w14:paraId="611F515E">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（二）技术评分（6分）</w:t>
            </w:r>
          </w:p>
        </w:tc>
        <w:tc>
          <w:tcPr>
            <w:tcW w:w="1626" w:type="dxa"/>
          </w:tcPr>
          <w:p w14:paraId="0AFA6E75">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符合性审查</w:t>
            </w:r>
          </w:p>
        </w:tc>
      </w:tr>
      <w:tr w14:paraId="2F5DE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9" w:hRule="atLeast"/>
        </w:trPr>
        <w:tc>
          <w:tcPr>
            <w:tcW w:w="1166" w:type="dxa"/>
            <w:noWrap/>
          </w:tcPr>
          <w:p w14:paraId="393CEBBA">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　</w:t>
            </w:r>
          </w:p>
        </w:tc>
        <w:tc>
          <w:tcPr>
            <w:tcW w:w="7815" w:type="dxa"/>
            <w:gridSpan w:val="2"/>
          </w:tcPr>
          <w:p w14:paraId="379DA96F">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投标人完全满足招标文件“技术参数及要求”，如投标人不能响应满足做无效投标处理。 评审依据：投标文件中的“技术响应（偏离）说明表”。</w:t>
            </w:r>
            <w:r>
              <w:rPr>
                <w:rFonts w:hint="eastAsia" w:ascii="微软雅黑" w:hAnsi="微软雅黑" w:eastAsia="微软雅黑"/>
                <w:bCs/>
                <w:color w:val="000000" w:themeColor="text1"/>
                <w:sz w:val="22"/>
                <w14:textFill>
                  <w14:solidFill>
                    <w14:schemeClr w14:val="tx1"/>
                  </w14:solidFill>
                </w14:textFill>
              </w:rPr>
              <w:br w:type="textWrapping"/>
            </w:r>
            <w:r>
              <w:rPr>
                <w:rFonts w:hint="eastAsia" w:ascii="微软雅黑" w:hAnsi="微软雅黑" w:eastAsia="微软雅黑"/>
                <w:bCs/>
                <w:color w:val="000000" w:themeColor="text1"/>
                <w:sz w:val="22"/>
                <w14:textFill>
                  <w14:solidFill>
                    <w14:schemeClr w14:val="tx1"/>
                  </w14:solidFill>
                </w14:textFill>
              </w:rPr>
              <w:t>注：投标人应如实填写偏离情况，如果投标人所响应技术要求明显不符合招标文件要求却在技术响应偏离表中作“满足”、“响应”等说明的，作投标无效处理。</w:t>
            </w:r>
            <w:r>
              <w:rPr>
                <w:rFonts w:hint="eastAsia" w:ascii="微软雅黑" w:hAnsi="微软雅黑" w:eastAsia="微软雅黑"/>
                <w:bCs/>
                <w:color w:val="000000" w:themeColor="text1"/>
                <w:sz w:val="22"/>
                <w14:textFill>
                  <w14:solidFill>
                    <w14:schemeClr w14:val="tx1"/>
                  </w14:solidFill>
                </w14:textFill>
              </w:rPr>
              <w:br w:type="textWrapping"/>
            </w:r>
            <w:r>
              <w:rPr>
                <w:rFonts w:hint="eastAsia" w:ascii="微软雅黑" w:hAnsi="微软雅黑" w:eastAsia="微软雅黑"/>
                <w:bCs/>
                <w:color w:val="000000" w:themeColor="text1"/>
                <w:sz w:val="22"/>
                <w14:textFill>
                  <w14:solidFill>
                    <w14:schemeClr w14:val="tx1"/>
                  </w14:solidFill>
                </w14:textFill>
              </w:rPr>
              <w:t>评审依据：提供注册证技术要求文件或产品白皮书并加盖公章，未提供或未盖章按无效处理。</w:t>
            </w:r>
          </w:p>
        </w:tc>
      </w:tr>
      <w:tr w14:paraId="33280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166" w:type="dxa"/>
            <w:noWrap/>
          </w:tcPr>
          <w:p w14:paraId="4DA222A0">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（一）</w:t>
            </w:r>
          </w:p>
        </w:tc>
        <w:tc>
          <w:tcPr>
            <w:tcW w:w="6189" w:type="dxa"/>
          </w:tcPr>
          <w:p w14:paraId="68CFD024">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尿道膀胱镜</w:t>
            </w:r>
          </w:p>
        </w:tc>
        <w:tc>
          <w:tcPr>
            <w:tcW w:w="1626" w:type="dxa"/>
            <w:noWrap/>
          </w:tcPr>
          <w:p w14:paraId="1A811BD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分值</w:t>
            </w:r>
          </w:p>
        </w:tc>
      </w:tr>
      <w:tr w14:paraId="27DAE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66" w:type="dxa"/>
            <w:noWrap/>
          </w:tcPr>
          <w:p w14:paraId="6B3FF404">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w:t>
            </w:r>
          </w:p>
        </w:tc>
        <w:tc>
          <w:tcPr>
            <w:tcW w:w="6189" w:type="dxa"/>
          </w:tcPr>
          <w:p w14:paraId="4909C0C9">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 xml:space="preserve">投标人满足：内窥镜视场中心分辨率r.(d)≥3.484C/° </w:t>
            </w:r>
            <w:r>
              <w:rPr>
                <w:rFonts w:hint="eastAsia" w:ascii="微软雅黑" w:hAnsi="微软雅黑" w:eastAsia="微软雅黑"/>
                <w:bCs/>
                <w:color w:val="000000" w:themeColor="text1"/>
                <w:sz w:val="22"/>
                <w14:textFill>
                  <w14:solidFill>
                    <w14:schemeClr w14:val="tx1"/>
                  </w14:solidFill>
                </w14:textFill>
              </w:rPr>
              <w:br w:type="textWrapping"/>
            </w:r>
            <w:r>
              <w:rPr>
                <w:rFonts w:hint="eastAsia" w:ascii="微软雅黑" w:hAnsi="微软雅黑" w:eastAsia="微软雅黑"/>
                <w:bCs/>
                <w:color w:val="000000" w:themeColor="text1"/>
                <w:sz w:val="22"/>
                <w14:textFill>
                  <w14:solidFill>
                    <w14:schemeClr w14:val="tx1"/>
                  </w14:solidFill>
                </w14:textFill>
              </w:rPr>
              <w:t>评审依据：提供检查报告或厂家白皮书，并加盖供应商公章，未提供或未盖章将不得分。</w:t>
            </w:r>
          </w:p>
        </w:tc>
        <w:tc>
          <w:tcPr>
            <w:tcW w:w="1626" w:type="dxa"/>
          </w:tcPr>
          <w:p w14:paraId="0897D890">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3分</w:t>
            </w:r>
          </w:p>
        </w:tc>
      </w:tr>
      <w:tr w14:paraId="68E76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166" w:type="dxa"/>
            <w:noWrap/>
          </w:tcPr>
          <w:p w14:paraId="5BC7BE05">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（二）</w:t>
            </w:r>
          </w:p>
        </w:tc>
        <w:tc>
          <w:tcPr>
            <w:tcW w:w="6189" w:type="dxa"/>
          </w:tcPr>
          <w:p w14:paraId="1338C607">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加压器</w:t>
            </w:r>
          </w:p>
        </w:tc>
        <w:tc>
          <w:tcPr>
            <w:tcW w:w="1626" w:type="dxa"/>
          </w:tcPr>
          <w:p w14:paraId="1675610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　</w:t>
            </w:r>
          </w:p>
        </w:tc>
      </w:tr>
      <w:tr w14:paraId="4CADF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1166" w:type="dxa"/>
            <w:noWrap/>
          </w:tcPr>
          <w:p w14:paraId="5D522F5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w:t>
            </w:r>
          </w:p>
        </w:tc>
        <w:tc>
          <w:tcPr>
            <w:tcW w:w="6189" w:type="dxa"/>
          </w:tcPr>
          <w:p w14:paraId="4CBECA24">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 xml:space="preserve">投标人满足：有独立的压力传感器附件，无需更换压力感应膜。                                   </w:t>
            </w:r>
            <w:r>
              <w:rPr>
                <w:rFonts w:hint="eastAsia" w:ascii="微软雅黑" w:hAnsi="微软雅黑" w:eastAsia="微软雅黑"/>
                <w:bCs/>
                <w:color w:val="000000" w:themeColor="text1"/>
                <w:sz w:val="22"/>
                <w14:textFill>
                  <w14:solidFill>
                    <w14:schemeClr w14:val="tx1"/>
                  </w14:solidFill>
                </w14:textFill>
              </w:rPr>
              <w:br w:type="textWrapping"/>
            </w:r>
            <w:r>
              <w:rPr>
                <w:rFonts w:hint="eastAsia" w:ascii="微软雅黑" w:hAnsi="微软雅黑" w:eastAsia="微软雅黑"/>
                <w:bCs/>
                <w:color w:val="000000" w:themeColor="text1"/>
                <w:sz w:val="22"/>
                <w14:textFill>
                  <w14:solidFill>
                    <w14:schemeClr w14:val="tx1"/>
                  </w14:solidFill>
                </w14:textFill>
              </w:rPr>
              <w:t>评审依据：提供检查报告或厂家白皮书，并加盖供应商公章，未提供或未盖章将不得分。</w:t>
            </w:r>
          </w:p>
        </w:tc>
        <w:tc>
          <w:tcPr>
            <w:tcW w:w="1626" w:type="dxa"/>
            <w:noWrap/>
          </w:tcPr>
          <w:p w14:paraId="758F7F62">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3分</w:t>
            </w:r>
          </w:p>
        </w:tc>
      </w:tr>
      <w:tr w14:paraId="3AB4F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355" w:type="dxa"/>
            <w:gridSpan w:val="2"/>
          </w:tcPr>
          <w:p w14:paraId="3D17C0E0">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（三）商务评分（1分）</w:t>
            </w:r>
          </w:p>
        </w:tc>
        <w:tc>
          <w:tcPr>
            <w:tcW w:w="1626" w:type="dxa"/>
            <w:noWrap/>
          </w:tcPr>
          <w:p w14:paraId="4BFB3FEB">
            <w:pPr>
              <w:rPr>
                <w:rFonts w:ascii="微软雅黑" w:hAnsi="微软雅黑" w:eastAsia="微软雅黑"/>
                <w:bCs/>
                <w:color w:val="000000" w:themeColor="text1"/>
                <w:sz w:val="22"/>
                <w14:textFill>
                  <w14:solidFill>
                    <w14:schemeClr w14:val="tx1"/>
                  </w14:solidFill>
                </w14:textFill>
              </w:rPr>
            </w:pPr>
            <w:r>
              <w:rPr>
                <w:rFonts w:hint="eastAsia" w:ascii="微软雅黑" w:hAnsi="微软雅黑" w:eastAsia="微软雅黑"/>
                <w:bCs/>
                <w:color w:val="000000" w:themeColor="text1"/>
                <w:sz w:val="22"/>
                <w14:textFill>
                  <w14:solidFill>
                    <w14:schemeClr w14:val="tx1"/>
                  </w14:solidFill>
                </w14:textFill>
              </w:rPr>
              <w:t>　</w:t>
            </w:r>
          </w:p>
        </w:tc>
      </w:tr>
      <w:tr w14:paraId="68CF7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166" w:type="dxa"/>
          </w:tcPr>
          <w:p w14:paraId="3A81C953">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1</w:t>
            </w:r>
          </w:p>
        </w:tc>
        <w:tc>
          <w:tcPr>
            <w:tcW w:w="6189" w:type="dxa"/>
          </w:tcPr>
          <w:p w14:paraId="0D3069E0">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质保承诺：质保3年，得0.5分；不符合要求者不得分，满分0.5分。</w:t>
            </w:r>
            <w:r>
              <w:rPr>
                <w:rFonts w:hint="eastAsia" w:ascii="微软雅黑" w:hAnsi="微软雅黑" w:eastAsia="微软雅黑"/>
                <w:color w:val="000000" w:themeColor="text1"/>
                <w:sz w:val="22"/>
                <w14:textFill>
                  <w14:solidFill>
                    <w14:schemeClr w14:val="tx1"/>
                  </w14:solidFill>
                </w14:textFill>
              </w:rPr>
              <w:br w:type="textWrapping"/>
            </w:r>
            <w:r>
              <w:rPr>
                <w:rFonts w:hint="eastAsia" w:ascii="微软雅黑" w:hAnsi="微软雅黑" w:eastAsia="微软雅黑"/>
                <w:color w:val="000000" w:themeColor="text1"/>
                <w:sz w:val="22"/>
                <w14:textFill>
                  <w14:solidFill>
                    <w14:schemeClr w14:val="tx1"/>
                  </w14:solidFill>
                </w14:textFill>
              </w:rPr>
              <w:t>评审依据：提供售后服务承诺函并加盖供应商公章，未提供或未盖章将不得分。</w:t>
            </w:r>
          </w:p>
        </w:tc>
        <w:tc>
          <w:tcPr>
            <w:tcW w:w="1626" w:type="dxa"/>
          </w:tcPr>
          <w:p w14:paraId="4949ADF2">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0.5分</w:t>
            </w:r>
          </w:p>
        </w:tc>
      </w:tr>
      <w:tr w14:paraId="47501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8" w:hRule="atLeast"/>
        </w:trPr>
        <w:tc>
          <w:tcPr>
            <w:tcW w:w="1166" w:type="dxa"/>
          </w:tcPr>
          <w:p w14:paraId="543E0655">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2</w:t>
            </w:r>
          </w:p>
        </w:tc>
        <w:tc>
          <w:tcPr>
            <w:tcW w:w="6189" w:type="dxa"/>
          </w:tcPr>
          <w:p w14:paraId="5F6DA6A5">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售后服务承诺：</w:t>
            </w:r>
            <w:r>
              <w:rPr>
                <w:rFonts w:hint="eastAsia" w:ascii="微软雅黑" w:hAnsi="微软雅黑" w:eastAsia="微软雅黑"/>
                <w:color w:val="000000" w:themeColor="text1"/>
                <w:sz w:val="22"/>
                <w14:textFill>
                  <w14:solidFill>
                    <w14:schemeClr w14:val="tx1"/>
                  </w14:solidFill>
                </w14:textFill>
              </w:rPr>
              <w:br w:type="textWrapping"/>
            </w:r>
            <w:r>
              <w:rPr>
                <w:rFonts w:hint="eastAsia" w:ascii="微软雅黑" w:hAnsi="微软雅黑" w:eastAsia="微软雅黑"/>
                <w:color w:val="000000" w:themeColor="text1"/>
                <w:sz w:val="22"/>
                <w14:textFill>
                  <w14:solidFill>
                    <w14:schemeClr w14:val="tx1"/>
                  </w14:solidFill>
                </w14:textFill>
              </w:rPr>
              <w:t>（1）设备出现故障时，提出解决方案并上门服务，12～24小时内（含12小时），得0.05分；6～12小时内（含6小时），得0.1分；6小时内得0.25分.</w:t>
            </w:r>
            <w:r>
              <w:rPr>
                <w:rFonts w:hint="eastAsia" w:ascii="微软雅黑" w:hAnsi="微软雅黑" w:eastAsia="微软雅黑"/>
                <w:color w:val="000000" w:themeColor="text1"/>
                <w:sz w:val="22"/>
                <w14:textFill>
                  <w14:solidFill>
                    <w14:schemeClr w14:val="tx1"/>
                  </w14:solidFill>
                </w14:textFill>
              </w:rPr>
              <w:br w:type="textWrapping"/>
            </w:r>
            <w:r>
              <w:rPr>
                <w:rFonts w:hint="eastAsia" w:ascii="微软雅黑" w:hAnsi="微软雅黑" w:eastAsia="微软雅黑"/>
                <w:color w:val="000000" w:themeColor="text1"/>
                <w:sz w:val="22"/>
                <w14:textFill>
                  <w14:solidFill>
                    <w14:schemeClr w14:val="tx1"/>
                  </w14:solidFill>
                </w14:textFill>
              </w:rPr>
              <w:t>（2）维修时提供备用机，得0.25分；不提供备用机不得分。</w:t>
            </w:r>
            <w:r>
              <w:rPr>
                <w:rFonts w:hint="eastAsia" w:ascii="微软雅黑" w:hAnsi="微软雅黑" w:eastAsia="微软雅黑"/>
                <w:color w:val="000000" w:themeColor="text1"/>
                <w:sz w:val="22"/>
                <w14:textFill>
                  <w14:solidFill>
                    <w14:schemeClr w14:val="tx1"/>
                  </w14:solidFill>
                </w14:textFill>
              </w:rPr>
              <w:br w:type="textWrapping"/>
            </w:r>
            <w:r>
              <w:rPr>
                <w:rFonts w:hint="eastAsia" w:ascii="微软雅黑" w:hAnsi="微软雅黑" w:eastAsia="微软雅黑"/>
                <w:color w:val="000000" w:themeColor="text1"/>
                <w:sz w:val="22"/>
                <w14:textFill>
                  <w14:solidFill>
                    <w14:schemeClr w14:val="tx1"/>
                  </w14:solidFill>
                </w14:textFill>
              </w:rPr>
              <w:t>评审依据：提供售后服务承诺函并加盖供应商公章，未提供或未盖章将不得分。</w:t>
            </w:r>
          </w:p>
        </w:tc>
        <w:tc>
          <w:tcPr>
            <w:tcW w:w="1626" w:type="dxa"/>
          </w:tcPr>
          <w:p w14:paraId="6C595B0D">
            <w:pPr>
              <w:rPr>
                <w:rFonts w:ascii="微软雅黑" w:hAnsi="微软雅黑" w:eastAsia="微软雅黑"/>
                <w:color w:val="000000" w:themeColor="text1"/>
                <w:sz w:val="22"/>
                <w14:textFill>
                  <w14:solidFill>
                    <w14:schemeClr w14:val="tx1"/>
                  </w14:solidFill>
                </w14:textFill>
              </w:rPr>
            </w:pPr>
            <w:r>
              <w:rPr>
                <w:rFonts w:hint="eastAsia" w:ascii="微软雅黑" w:hAnsi="微软雅黑" w:eastAsia="微软雅黑"/>
                <w:color w:val="000000" w:themeColor="text1"/>
                <w:sz w:val="22"/>
                <w14:textFill>
                  <w14:solidFill>
                    <w14:schemeClr w14:val="tx1"/>
                  </w14:solidFill>
                </w14:textFill>
              </w:rPr>
              <w:t>0.5分</w:t>
            </w:r>
          </w:p>
        </w:tc>
      </w:tr>
    </w:tbl>
    <w:p w14:paraId="46A1076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9D3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2025-09-08T02:45:46Z</dcterms:created>
  <dc:creator>Administrator</dc:creator>
  <cp:lastModifiedBy>黄镁淇</cp:lastModifiedBy>
  <dcterms:modified xsi:type="dcterms:W3CDTF">2025-09-08T02:46:00Z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eyJoZGlkIjoiNTljNDY4ZTRkMDljOTUyM2E3ZmUxODEwNTRkMmRhYmMiLCJ1c2VySWQiOiI5NTA3MzU1NjIifQ==</vt:lpwstr>
  </property>
  <property fmtid="{D5CDD505-2E9C-101B-9397-08002B2CF9AE}" pid="4" name="ICV">
    <vt:lpwstr>551934235BC541E0BB91E6C470CA858E_12</vt:lpwstr>
  </property>
</Properties>
</file>